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2F6" w:rsidRDefault="00714029" w:rsidP="002123A6">
      <w:pPr>
        <w:pStyle w:val="Heading2"/>
        <w:rPr>
          <w:noProof/>
        </w:rPr>
      </w:pPr>
      <w:r>
        <w:rPr>
          <w:noProof/>
        </w:rPr>
        <w:pict>
          <v:shapetype id="_x0000_t202" coordsize="21600,21600" o:spt="202" path="m,l,21600r21600,l21600,xe">
            <v:stroke joinstyle="miter"/>
            <v:path gradientshapeok="t" o:connecttype="rect"/>
          </v:shapetype>
          <v:shape id="_x0000_s1030" type="#_x0000_t202" style="position:absolute;left:0;text-align:left;margin-left:311.6pt;margin-top:28.5pt;width:267.9pt;height:64.05pt;z-index:251658240;mso-position-horizontal-relative:page;mso-position-vertical-relative:page" filled="f" stroked="f">
            <v:textbox style="mso-next-textbox:#_x0000_s1030;mso-fit-shape-to-text:t">
              <w:txbxContent>
                <w:p w:rsidR="007C4DEC" w:rsidRDefault="007C4DEC" w:rsidP="007C4DEC">
                  <w:pPr>
                    <w:pStyle w:val="Heading1"/>
                    <w:ind w:right="30"/>
                  </w:pPr>
                  <w:r>
                    <w:t>JOHNSON MOTOR SALES</w:t>
                  </w:r>
                </w:p>
                <w:p w:rsidR="007C4DEC" w:rsidRDefault="007C4DEC" w:rsidP="007C4DEC">
                  <w:pPr>
                    <w:jc w:val="right"/>
                    <w:rPr>
                      <w:sz w:val="18"/>
                      <w:szCs w:val="18"/>
                    </w:rPr>
                  </w:pPr>
                  <w:r>
                    <w:rPr>
                      <w:sz w:val="18"/>
                      <w:szCs w:val="18"/>
                    </w:rPr>
                    <w:t xml:space="preserve">New Richmond </w:t>
                  </w:r>
                  <w:r>
                    <w:rPr>
                      <w:rFonts w:cs="Arial"/>
                      <w:sz w:val="18"/>
                      <w:szCs w:val="18"/>
                    </w:rPr>
                    <w:t>∞</w:t>
                  </w:r>
                  <w:r>
                    <w:rPr>
                      <w:sz w:val="18"/>
                      <w:szCs w:val="18"/>
                    </w:rPr>
                    <w:t xml:space="preserve"> Menomonie </w:t>
                  </w:r>
                  <w:r>
                    <w:rPr>
                      <w:rFonts w:cs="Arial"/>
                      <w:sz w:val="18"/>
                      <w:szCs w:val="18"/>
                    </w:rPr>
                    <w:t>∞ St. Croix Falls</w:t>
                  </w:r>
                </w:p>
                <w:p w:rsidR="00B46F56" w:rsidRPr="007C4DEC" w:rsidRDefault="00B46F56" w:rsidP="007C4DEC"/>
              </w:txbxContent>
            </v:textbox>
            <w10:wrap anchorx="page" anchory="page"/>
          </v:shape>
        </w:pict>
      </w:r>
    </w:p>
    <w:p w:rsidR="005042F6" w:rsidRPr="005042F6" w:rsidRDefault="005042F6" w:rsidP="005042F6">
      <w:pPr>
        <w:pStyle w:val="Heading2"/>
        <w:rPr>
          <w:noProof/>
        </w:rPr>
      </w:pPr>
      <w:r w:rsidRPr="005042F6">
        <w:rPr>
          <w:noProof/>
        </w:rPr>
        <w:t>General Notice of Cobra Continuation Coverage Rights</w:t>
      </w:r>
    </w:p>
    <w:p w:rsidR="005042F6" w:rsidRPr="005042F6" w:rsidRDefault="005042F6" w:rsidP="005042F6">
      <w:pPr>
        <w:pStyle w:val="Heading2"/>
        <w:rPr>
          <w:b w:val="0"/>
          <w:noProof/>
          <w:sz w:val="22"/>
          <w:szCs w:val="22"/>
        </w:rPr>
      </w:pPr>
      <w:r w:rsidRPr="005042F6">
        <w:rPr>
          <w:b w:val="0"/>
          <w:sz w:val="22"/>
          <w:szCs w:val="22"/>
        </w:rPr>
        <w:t>**CONTINUATION COVERAGE RIGHTS UNDER COBRA**</w:t>
      </w:r>
    </w:p>
    <w:tbl>
      <w:tblPr>
        <w:tblW w:w="10195" w:type="dxa"/>
        <w:jc w:val="center"/>
        <w:tblLayout w:type="fixed"/>
        <w:tblLook w:val="0000"/>
      </w:tblPr>
      <w:tblGrid>
        <w:gridCol w:w="10195"/>
      </w:tblGrid>
      <w:tr w:rsidR="00A35524" w:rsidRPr="006D779C">
        <w:trPr>
          <w:trHeight w:hRule="exact" w:val="288"/>
          <w:jc w:val="center"/>
        </w:trPr>
        <w:tc>
          <w:tcPr>
            <w:tcW w:w="10195" w:type="dxa"/>
            <w:shd w:val="clear" w:color="auto" w:fill="000000"/>
            <w:vAlign w:val="center"/>
          </w:tcPr>
          <w:p w:rsidR="00A35524" w:rsidRPr="00D6155E" w:rsidRDefault="005042F6" w:rsidP="00D6155E">
            <w:pPr>
              <w:pStyle w:val="Heading3"/>
            </w:pPr>
            <w:r>
              <w:t>Introduction</w:t>
            </w:r>
          </w:p>
        </w:tc>
      </w:tr>
      <w:tr w:rsidR="00E76506" w:rsidRPr="005114CE">
        <w:trPr>
          <w:trHeight w:val="2880"/>
          <w:jc w:val="center"/>
        </w:trPr>
        <w:tc>
          <w:tcPr>
            <w:tcW w:w="10195" w:type="dxa"/>
            <w:vAlign w:val="center"/>
          </w:tcPr>
          <w:p w:rsidR="00E76506" w:rsidRDefault="005042F6" w:rsidP="007C4DEC">
            <w:pPr>
              <w:pStyle w:val="BodyText3"/>
            </w:pPr>
            <w:r>
              <w:t>You are receiving this notice because you have recently become covered under a group health plan (the Plan).  This notice contains important information about your rights under COBRA and Wisconsin State continuation laws.  COBRA and state continuation laws provide a temporary extension of coverage under the Plan.  This notice generally explains COBRA and state continuation coverage, when it may become available to you and your family, and what you need to do to protect the right to receive an extension under the Plan.</w:t>
            </w:r>
          </w:p>
          <w:p w:rsidR="005042F6" w:rsidRDefault="005042F6" w:rsidP="005042F6">
            <w:pPr>
              <w:pStyle w:val="BodyText3"/>
            </w:pPr>
            <w:r>
              <w:t>A federal law, the Consolidated Omnibus Budget Reconciliation Act of 1985 (COBRA), created the right to continuation coverage.  COBRA continuation coverage can become available to you at certain times when you would otherwise lose your group health coverage.  It can also become available to other members of your family who are covered under the Plan when they would otherwise lose their group health coverage.  COBRA applies to all group health plans (both fully and self-insured) maintained by employers with 20 or more employees including plans established by state and local government units and certain church plans.  For additional information about your rights and obligations under federal law, you should review the Plan’s Summary Plan Description or contact the Plan Administrator.</w:t>
            </w:r>
          </w:p>
          <w:p w:rsidR="005042F6" w:rsidRPr="00437F00" w:rsidRDefault="005042F6" w:rsidP="005042F6">
            <w:pPr>
              <w:pStyle w:val="BodyText3"/>
            </w:pPr>
            <w:r>
              <w:t>Wisconsin State law has similar provisions to COBRA but also has provisions that are very different.  Fully insured health plans are subject to Wisconsin State law regardless of the size of the group.  To be eligible for continuation under Wisconsin State law an employer must have covered you under an employer sponsored health plan for at least three months before the loss of eligibility.  However, fully insured health plans with over 20 employees are subject to both state and federal laws regarding continuation.  When both laws apply to the group coverage, the Office of the Commissioner of Insurance has stated that the law with the most favorable provision to the insured applies.</w:t>
            </w:r>
          </w:p>
        </w:tc>
      </w:tr>
      <w:tr w:rsidR="000F2DF4" w:rsidRPr="006D779C">
        <w:trPr>
          <w:trHeight w:hRule="exact" w:val="288"/>
          <w:jc w:val="center"/>
        </w:trPr>
        <w:tc>
          <w:tcPr>
            <w:tcW w:w="10195" w:type="dxa"/>
            <w:shd w:val="clear" w:color="auto" w:fill="000000"/>
            <w:vAlign w:val="center"/>
          </w:tcPr>
          <w:p w:rsidR="000F2DF4" w:rsidRPr="006D779C" w:rsidRDefault="004B714F" w:rsidP="007C4DEC">
            <w:pPr>
              <w:pStyle w:val="Heading3"/>
            </w:pPr>
            <w:r>
              <w:t>What is COBRA Continuation Coverage?</w:t>
            </w:r>
          </w:p>
        </w:tc>
      </w:tr>
      <w:tr w:rsidR="005042F6" w:rsidRPr="00613129" w:rsidTr="004B714F">
        <w:trPr>
          <w:trHeight w:val="3511"/>
          <w:jc w:val="center"/>
        </w:trPr>
        <w:tc>
          <w:tcPr>
            <w:tcW w:w="10195" w:type="dxa"/>
            <w:vAlign w:val="center"/>
          </w:tcPr>
          <w:p w:rsidR="005042F6" w:rsidRPr="004B714F" w:rsidRDefault="004B714F" w:rsidP="004B714F">
            <w:pPr>
              <w:pStyle w:val="Checkbox"/>
              <w:spacing w:after="240"/>
              <w:jc w:val="left"/>
              <w:rPr>
                <w:sz w:val="20"/>
                <w:szCs w:val="20"/>
              </w:rPr>
            </w:pPr>
            <w:r w:rsidRPr="004B714F">
              <w:rPr>
                <w:sz w:val="20"/>
                <w:szCs w:val="20"/>
              </w:rPr>
              <w:t>COBRA continuation coverage is a continuation of Plan coverage when coverage would otherwise end because of a life event known as a “qualifying event.”  Specific qualifying events are listed later in this notice.  After a qualifying event,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coverage must pay for COBRA continuation coverage.</w:t>
            </w:r>
          </w:p>
          <w:p w:rsidR="004B714F" w:rsidRDefault="004B714F" w:rsidP="004B714F">
            <w:pPr>
              <w:rPr>
                <w:sz w:val="20"/>
                <w:szCs w:val="20"/>
              </w:rPr>
            </w:pPr>
            <w:r>
              <w:rPr>
                <w:sz w:val="20"/>
                <w:szCs w:val="20"/>
              </w:rPr>
              <w:t>If you are an employee, you will become a qualified beneficiary if you lose your coverage under the Plan because either one of the following qualifying events happens:</w:t>
            </w:r>
          </w:p>
          <w:p w:rsidR="004B714F" w:rsidRDefault="004B714F" w:rsidP="004B714F">
            <w:pPr>
              <w:rPr>
                <w:sz w:val="20"/>
                <w:szCs w:val="20"/>
              </w:rPr>
            </w:pPr>
          </w:p>
          <w:p w:rsidR="004B714F" w:rsidRDefault="004B714F" w:rsidP="004B714F">
            <w:pPr>
              <w:pStyle w:val="ListParagraph"/>
              <w:numPr>
                <w:ilvl w:val="0"/>
                <w:numId w:val="11"/>
              </w:numPr>
              <w:rPr>
                <w:sz w:val="20"/>
                <w:szCs w:val="20"/>
              </w:rPr>
            </w:pPr>
            <w:r>
              <w:rPr>
                <w:sz w:val="20"/>
                <w:szCs w:val="20"/>
              </w:rPr>
              <w:t>Your hours of employment are reduced, or</w:t>
            </w:r>
          </w:p>
          <w:p w:rsidR="004B714F" w:rsidRDefault="004B714F" w:rsidP="004B714F">
            <w:pPr>
              <w:pStyle w:val="ListParagraph"/>
              <w:numPr>
                <w:ilvl w:val="0"/>
                <w:numId w:val="11"/>
              </w:numPr>
              <w:rPr>
                <w:sz w:val="20"/>
                <w:szCs w:val="20"/>
              </w:rPr>
            </w:pPr>
            <w:r>
              <w:rPr>
                <w:sz w:val="20"/>
                <w:szCs w:val="20"/>
              </w:rPr>
              <w:t>Your employment ends for any reason other than your gross misconduct</w:t>
            </w:r>
          </w:p>
          <w:p w:rsidR="004B714F" w:rsidRDefault="004B714F" w:rsidP="004B714F">
            <w:pPr>
              <w:rPr>
                <w:sz w:val="20"/>
                <w:szCs w:val="20"/>
              </w:rPr>
            </w:pPr>
          </w:p>
          <w:p w:rsidR="004B714F" w:rsidRDefault="004B714F" w:rsidP="004B714F">
            <w:pPr>
              <w:rPr>
                <w:sz w:val="20"/>
                <w:szCs w:val="20"/>
              </w:rPr>
            </w:pPr>
            <w:r>
              <w:rPr>
                <w:sz w:val="20"/>
                <w:szCs w:val="20"/>
              </w:rPr>
              <w:t>If you are the spouse of an employee, you will become a qualified beneficiary if you lose your coverage under the Plan because any of the following qualifying events happens:</w:t>
            </w:r>
          </w:p>
          <w:p w:rsidR="004B714F" w:rsidRDefault="004B714F" w:rsidP="004B714F">
            <w:pPr>
              <w:rPr>
                <w:sz w:val="20"/>
                <w:szCs w:val="20"/>
              </w:rPr>
            </w:pPr>
          </w:p>
          <w:p w:rsidR="004B714F" w:rsidRDefault="004B714F" w:rsidP="004B714F">
            <w:pPr>
              <w:pStyle w:val="ListParagraph"/>
              <w:numPr>
                <w:ilvl w:val="0"/>
                <w:numId w:val="12"/>
              </w:numPr>
              <w:rPr>
                <w:sz w:val="20"/>
                <w:szCs w:val="20"/>
              </w:rPr>
            </w:pPr>
            <w:r>
              <w:rPr>
                <w:sz w:val="20"/>
                <w:szCs w:val="20"/>
              </w:rPr>
              <w:t>Your spouse dies;</w:t>
            </w:r>
          </w:p>
          <w:p w:rsidR="004B714F" w:rsidRDefault="004B714F" w:rsidP="004B714F">
            <w:pPr>
              <w:pStyle w:val="ListParagraph"/>
              <w:numPr>
                <w:ilvl w:val="0"/>
                <w:numId w:val="12"/>
              </w:numPr>
              <w:rPr>
                <w:sz w:val="20"/>
                <w:szCs w:val="20"/>
              </w:rPr>
            </w:pPr>
            <w:r>
              <w:rPr>
                <w:sz w:val="20"/>
                <w:szCs w:val="20"/>
              </w:rPr>
              <w:t>Your spouse’s hours of employment are reduced;</w:t>
            </w:r>
          </w:p>
          <w:p w:rsidR="004B714F" w:rsidRDefault="004B714F" w:rsidP="004B714F">
            <w:pPr>
              <w:pStyle w:val="ListParagraph"/>
              <w:numPr>
                <w:ilvl w:val="0"/>
                <w:numId w:val="12"/>
              </w:numPr>
              <w:rPr>
                <w:sz w:val="20"/>
                <w:szCs w:val="20"/>
              </w:rPr>
            </w:pPr>
            <w:r>
              <w:rPr>
                <w:sz w:val="20"/>
                <w:szCs w:val="20"/>
              </w:rPr>
              <w:t>Your spouse’s employment ends for any reason other than his or her gross misconduct;</w:t>
            </w:r>
          </w:p>
          <w:p w:rsidR="004B714F" w:rsidRDefault="004B714F" w:rsidP="004B714F">
            <w:pPr>
              <w:pStyle w:val="ListParagraph"/>
              <w:numPr>
                <w:ilvl w:val="0"/>
                <w:numId w:val="12"/>
              </w:numPr>
              <w:rPr>
                <w:sz w:val="20"/>
                <w:szCs w:val="20"/>
              </w:rPr>
            </w:pPr>
            <w:r>
              <w:rPr>
                <w:sz w:val="20"/>
                <w:szCs w:val="20"/>
              </w:rPr>
              <w:t>Your spouse becomes entitled to Medicare benefits (under Part A, Part B, or both); or</w:t>
            </w:r>
          </w:p>
          <w:p w:rsidR="004B714F" w:rsidRDefault="004B714F" w:rsidP="004B714F">
            <w:pPr>
              <w:pStyle w:val="ListParagraph"/>
              <w:numPr>
                <w:ilvl w:val="0"/>
                <w:numId w:val="12"/>
              </w:numPr>
              <w:rPr>
                <w:sz w:val="20"/>
                <w:szCs w:val="20"/>
              </w:rPr>
            </w:pPr>
            <w:r>
              <w:rPr>
                <w:sz w:val="20"/>
                <w:szCs w:val="20"/>
              </w:rPr>
              <w:t>You become divorced from your spouse.</w:t>
            </w:r>
          </w:p>
          <w:p w:rsidR="004B714F" w:rsidRDefault="004B714F" w:rsidP="004B714F">
            <w:pPr>
              <w:rPr>
                <w:sz w:val="20"/>
                <w:szCs w:val="20"/>
              </w:rPr>
            </w:pPr>
          </w:p>
          <w:p w:rsidR="004B714F" w:rsidRDefault="004B714F" w:rsidP="004B714F">
            <w:pPr>
              <w:rPr>
                <w:sz w:val="20"/>
                <w:szCs w:val="20"/>
              </w:rPr>
            </w:pPr>
            <w:r>
              <w:rPr>
                <w:sz w:val="20"/>
                <w:szCs w:val="20"/>
              </w:rPr>
              <w:t>You</w:t>
            </w:r>
            <w:r w:rsidR="00C67724">
              <w:rPr>
                <w:sz w:val="20"/>
                <w:szCs w:val="20"/>
              </w:rPr>
              <w:t>r dependent children will become qualified beneficiaries if they lose coverage under the Plan because any of the following qualifying events happens:</w:t>
            </w:r>
          </w:p>
          <w:p w:rsidR="00C67724" w:rsidRDefault="00C67724" w:rsidP="004B714F">
            <w:pPr>
              <w:rPr>
                <w:sz w:val="20"/>
                <w:szCs w:val="20"/>
              </w:rPr>
            </w:pPr>
          </w:p>
          <w:p w:rsidR="00C67724" w:rsidRDefault="00C67724" w:rsidP="00C67724">
            <w:pPr>
              <w:pStyle w:val="ListParagraph"/>
              <w:numPr>
                <w:ilvl w:val="0"/>
                <w:numId w:val="13"/>
              </w:numPr>
              <w:rPr>
                <w:sz w:val="20"/>
                <w:szCs w:val="20"/>
              </w:rPr>
            </w:pPr>
            <w:r>
              <w:rPr>
                <w:sz w:val="20"/>
                <w:szCs w:val="20"/>
              </w:rPr>
              <w:t>The employee dies;</w:t>
            </w:r>
          </w:p>
          <w:p w:rsidR="00C67724" w:rsidRDefault="00C67724" w:rsidP="00C67724">
            <w:pPr>
              <w:pStyle w:val="ListParagraph"/>
              <w:numPr>
                <w:ilvl w:val="0"/>
                <w:numId w:val="13"/>
              </w:numPr>
              <w:rPr>
                <w:sz w:val="20"/>
                <w:szCs w:val="20"/>
              </w:rPr>
            </w:pPr>
            <w:r>
              <w:rPr>
                <w:sz w:val="20"/>
                <w:szCs w:val="20"/>
              </w:rPr>
              <w:t>The employee’s hours of employment are reduced;</w:t>
            </w:r>
          </w:p>
          <w:p w:rsidR="00C67724" w:rsidRDefault="00C67724" w:rsidP="00C67724">
            <w:pPr>
              <w:pStyle w:val="ListParagraph"/>
              <w:numPr>
                <w:ilvl w:val="0"/>
                <w:numId w:val="13"/>
              </w:numPr>
              <w:rPr>
                <w:sz w:val="20"/>
                <w:szCs w:val="20"/>
              </w:rPr>
            </w:pPr>
            <w:r>
              <w:rPr>
                <w:sz w:val="20"/>
                <w:szCs w:val="20"/>
              </w:rPr>
              <w:t>The employee’s employment ends for any reason other than their gross misconduct;</w:t>
            </w:r>
          </w:p>
          <w:p w:rsidR="00C67724" w:rsidRDefault="00C67724" w:rsidP="00C67724">
            <w:pPr>
              <w:pStyle w:val="ListParagraph"/>
              <w:numPr>
                <w:ilvl w:val="0"/>
                <w:numId w:val="13"/>
              </w:numPr>
              <w:rPr>
                <w:sz w:val="20"/>
                <w:szCs w:val="20"/>
              </w:rPr>
            </w:pPr>
            <w:r>
              <w:rPr>
                <w:sz w:val="20"/>
                <w:szCs w:val="20"/>
              </w:rPr>
              <w:t>The employee becomes entitled to Medicare benefits (Part A, Part B, or both);</w:t>
            </w:r>
          </w:p>
          <w:p w:rsidR="00C67724" w:rsidRDefault="00C67724" w:rsidP="00C67724">
            <w:pPr>
              <w:pStyle w:val="ListParagraph"/>
              <w:numPr>
                <w:ilvl w:val="0"/>
                <w:numId w:val="13"/>
              </w:numPr>
              <w:rPr>
                <w:sz w:val="20"/>
                <w:szCs w:val="20"/>
              </w:rPr>
            </w:pPr>
            <w:r>
              <w:rPr>
                <w:sz w:val="20"/>
                <w:szCs w:val="20"/>
              </w:rPr>
              <w:lastRenderedPageBreak/>
              <w:t>The employee and spouse become divorced; or</w:t>
            </w:r>
          </w:p>
          <w:p w:rsidR="00C67724" w:rsidRDefault="00C67724" w:rsidP="00C67724">
            <w:pPr>
              <w:pStyle w:val="ListParagraph"/>
              <w:numPr>
                <w:ilvl w:val="0"/>
                <w:numId w:val="13"/>
              </w:numPr>
              <w:rPr>
                <w:sz w:val="20"/>
                <w:szCs w:val="20"/>
              </w:rPr>
            </w:pPr>
            <w:r>
              <w:rPr>
                <w:sz w:val="20"/>
                <w:szCs w:val="20"/>
              </w:rPr>
              <w:t>The child stops being eligible for coverage under the plan a a “dependent child.”</w:t>
            </w:r>
          </w:p>
          <w:p w:rsidR="00C67724" w:rsidRDefault="00C67724" w:rsidP="00C67724">
            <w:pPr>
              <w:rPr>
                <w:sz w:val="20"/>
                <w:szCs w:val="20"/>
              </w:rPr>
            </w:pPr>
          </w:p>
          <w:p w:rsidR="00C67724" w:rsidRDefault="00C67724" w:rsidP="00C67724">
            <w:pPr>
              <w:rPr>
                <w:sz w:val="20"/>
                <w:szCs w:val="20"/>
              </w:rPr>
            </w:pPr>
            <w:r>
              <w:rPr>
                <w:sz w:val="20"/>
                <w:szCs w:val="20"/>
              </w:rPr>
              <w:t>Under Wisconsin law the following individuals who have been continuously covered under a group health insurance policy for at least three months have the right to continue their group coverage, or to convert to an individual policy providing similar benefits:</w:t>
            </w:r>
          </w:p>
          <w:p w:rsidR="00C67724" w:rsidRDefault="00C67724" w:rsidP="00C67724">
            <w:pPr>
              <w:rPr>
                <w:sz w:val="20"/>
                <w:szCs w:val="20"/>
              </w:rPr>
            </w:pPr>
          </w:p>
          <w:p w:rsidR="00C67724" w:rsidRDefault="005B3AFF" w:rsidP="00C67724">
            <w:pPr>
              <w:pStyle w:val="ListParagraph"/>
              <w:numPr>
                <w:ilvl w:val="0"/>
                <w:numId w:val="14"/>
              </w:numPr>
              <w:rPr>
                <w:sz w:val="20"/>
                <w:szCs w:val="20"/>
              </w:rPr>
            </w:pPr>
            <w:r>
              <w:rPr>
                <w:sz w:val="20"/>
                <w:szCs w:val="20"/>
              </w:rPr>
              <w:t>A former spouse whose coverage ends because of divorce or annulment;</w:t>
            </w:r>
          </w:p>
          <w:p w:rsidR="005B3AFF" w:rsidRDefault="005B3AFF" w:rsidP="00C67724">
            <w:pPr>
              <w:pStyle w:val="ListParagraph"/>
              <w:numPr>
                <w:ilvl w:val="0"/>
                <w:numId w:val="14"/>
              </w:numPr>
              <w:rPr>
                <w:sz w:val="20"/>
                <w:szCs w:val="20"/>
              </w:rPr>
            </w:pPr>
            <w:r>
              <w:rPr>
                <w:sz w:val="20"/>
                <w:szCs w:val="20"/>
              </w:rPr>
              <w:t>An employee who voluntarily or involuntarily terminates employment for any reason other than discharge for misconduct, along with the spouse and dependents if covered; and</w:t>
            </w:r>
          </w:p>
          <w:p w:rsidR="005B3AFF" w:rsidRDefault="005B3AFF" w:rsidP="00C67724">
            <w:pPr>
              <w:pStyle w:val="ListParagraph"/>
              <w:numPr>
                <w:ilvl w:val="0"/>
                <w:numId w:val="14"/>
              </w:numPr>
              <w:rPr>
                <w:sz w:val="20"/>
                <w:szCs w:val="20"/>
              </w:rPr>
            </w:pPr>
            <w:r>
              <w:rPr>
                <w:sz w:val="20"/>
                <w:szCs w:val="20"/>
              </w:rPr>
              <w:t>A covered spouse and/or dependents of an employee who has died.</w:t>
            </w:r>
          </w:p>
          <w:p w:rsidR="005B3AFF" w:rsidRDefault="005B3AFF" w:rsidP="005B3AFF">
            <w:pPr>
              <w:rPr>
                <w:sz w:val="20"/>
                <w:szCs w:val="20"/>
              </w:rPr>
            </w:pPr>
          </w:p>
          <w:p w:rsidR="005B3AFF" w:rsidRPr="005B3AFF" w:rsidRDefault="005B3AFF" w:rsidP="005B3AFF">
            <w:pPr>
              <w:rPr>
                <w:sz w:val="20"/>
                <w:szCs w:val="20"/>
              </w:rPr>
            </w:pPr>
            <w:r>
              <w:rPr>
                <w:sz w:val="20"/>
                <w:szCs w:val="20"/>
              </w:rPr>
              <w:t xml:space="preserve">Sometimes, filing a proceeding in bankruptcy under title 11 of the United States Code can be a qualifying event.  If a proceeding in bankruptcy is filed with respect to </w:t>
            </w:r>
            <w:r>
              <w:rPr>
                <w:i/>
                <w:sz w:val="20"/>
                <w:szCs w:val="20"/>
                <w:u w:val="single"/>
              </w:rPr>
              <w:t>Johnson Motor Sales Inc.</w:t>
            </w:r>
            <w:r>
              <w:rPr>
                <w:sz w:val="20"/>
                <w:szCs w:val="20"/>
              </w:rPr>
              <w:t xml:space="preserve"> and that bankruptcy results in the loss of coverage of any retired employee covered under the Plan, the retired employee will become a qualified beneficiary with respect to the bankruptcy.  The retired employee’s spouse, surviving spouse, and dependent children will also become qualified beneficiaries if bankruptcy results in the loss of their coverage under the Plan.</w:t>
            </w:r>
          </w:p>
          <w:p w:rsidR="004B714F" w:rsidRPr="004B714F" w:rsidRDefault="004B714F" w:rsidP="004B714F"/>
        </w:tc>
      </w:tr>
      <w:tr w:rsidR="007C4DEC" w:rsidRPr="00613129" w:rsidTr="007C4DEC">
        <w:trPr>
          <w:trHeight w:val="288"/>
          <w:jc w:val="center"/>
        </w:trPr>
        <w:tc>
          <w:tcPr>
            <w:tcW w:w="10195" w:type="dxa"/>
            <w:shd w:val="clear" w:color="auto" w:fill="000000" w:themeFill="text1"/>
            <w:vAlign w:val="center"/>
          </w:tcPr>
          <w:p w:rsidR="007C4DEC" w:rsidRPr="006D779C" w:rsidRDefault="005B3AFF" w:rsidP="007C4DEC">
            <w:pPr>
              <w:pStyle w:val="Heading3"/>
            </w:pPr>
            <w:r>
              <w:lastRenderedPageBreak/>
              <w:t>When is COBRA Coverage Available?</w:t>
            </w:r>
          </w:p>
        </w:tc>
      </w:tr>
      <w:tr w:rsidR="005B3AFF" w:rsidRPr="00613129" w:rsidTr="00CA5F4D">
        <w:trPr>
          <w:trHeight w:val="1692"/>
          <w:jc w:val="center"/>
        </w:trPr>
        <w:tc>
          <w:tcPr>
            <w:tcW w:w="10195" w:type="dxa"/>
            <w:vAlign w:val="center"/>
          </w:tcPr>
          <w:p w:rsidR="005B3AFF" w:rsidRPr="00CA5F4D" w:rsidRDefault="00CA5F4D" w:rsidP="00CA5F4D">
            <w:pPr>
              <w:pStyle w:val="Heading3"/>
              <w:jc w:val="left"/>
              <w:rPr>
                <w:b w:val="0"/>
                <w:color w:val="auto"/>
              </w:rPr>
            </w:pPr>
            <w:r>
              <w:rPr>
                <w:b w:val="0"/>
                <w:color w:val="auto"/>
              </w:rPr>
              <w:t>The Plan will offer COBRA continuation coverage to qualified beneficiaries only after the Plan Administrator has been notified that a qualifying event has occurred.  When the qualifying event is the end of employment or reduction of hours of employment, death of the employee, commencement of a proceeding in bankruptcy with respect to the employer, or the employee’s becoming entitled to Medicare benefits (under Part A, Part B, or both), the employer must notify the Plan Administrator of the qualifying event.</w:t>
            </w:r>
          </w:p>
        </w:tc>
      </w:tr>
      <w:tr w:rsidR="007C4DEC" w:rsidRPr="006D779C">
        <w:trPr>
          <w:trHeight w:hRule="exact" w:val="288"/>
          <w:jc w:val="center"/>
        </w:trPr>
        <w:tc>
          <w:tcPr>
            <w:tcW w:w="10195" w:type="dxa"/>
            <w:shd w:val="clear" w:color="auto" w:fill="000000"/>
            <w:vAlign w:val="center"/>
          </w:tcPr>
          <w:p w:rsidR="007C4DEC" w:rsidRPr="006D779C" w:rsidRDefault="00CA5F4D" w:rsidP="00D6155E">
            <w:pPr>
              <w:pStyle w:val="Heading3"/>
            </w:pPr>
            <w:r>
              <w:t>You Must Give Notice of Some Qualifying Events</w:t>
            </w:r>
          </w:p>
        </w:tc>
      </w:tr>
      <w:tr w:rsidR="00CA5F4D" w:rsidRPr="005114CE" w:rsidTr="00CA5F4D">
        <w:trPr>
          <w:trHeight w:val="2216"/>
          <w:jc w:val="center"/>
        </w:trPr>
        <w:tc>
          <w:tcPr>
            <w:tcW w:w="10195" w:type="dxa"/>
            <w:vAlign w:val="center"/>
          </w:tcPr>
          <w:p w:rsidR="00CA5F4D" w:rsidRDefault="00CA5F4D" w:rsidP="00CA5F4D">
            <w:pPr>
              <w:pStyle w:val="BodyText2"/>
              <w:jc w:val="left"/>
            </w:pPr>
            <w:r>
              <w:t>For the other qualifying events (divorce of the employee and spouse or a dependent child’s losing eligibility for coverage as a dependent child), you must notify the Plan Administrator within 60 days after the qualifying event occurs.  You must provide this notice to:</w:t>
            </w:r>
          </w:p>
          <w:p w:rsidR="00CA5F4D" w:rsidRDefault="00CA5F4D" w:rsidP="00CA5F4D">
            <w:pPr>
              <w:pStyle w:val="BodyText2"/>
              <w:jc w:val="left"/>
            </w:pPr>
          </w:p>
          <w:p w:rsidR="00CA5F4D" w:rsidRPr="00CA5F4D" w:rsidRDefault="00754FF2" w:rsidP="00CA5F4D">
            <w:pPr>
              <w:pStyle w:val="BodyText2"/>
            </w:pPr>
            <w:r>
              <w:t>Brad Lutz</w:t>
            </w:r>
            <w:r w:rsidR="00CA5F4D">
              <w:t xml:space="preserve">, Human Resources </w:t>
            </w:r>
            <w:r>
              <w:t>Administrator</w:t>
            </w:r>
          </w:p>
        </w:tc>
      </w:tr>
      <w:tr w:rsidR="00CA5F4D" w:rsidRPr="006D779C" w:rsidTr="00EB5BBC">
        <w:trPr>
          <w:trHeight w:hRule="exact" w:val="288"/>
          <w:jc w:val="center"/>
        </w:trPr>
        <w:tc>
          <w:tcPr>
            <w:tcW w:w="10195" w:type="dxa"/>
            <w:shd w:val="clear" w:color="auto" w:fill="000000"/>
            <w:vAlign w:val="center"/>
          </w:tcPr>
          <w:p w:rsidR="00CA5F4D" w:rsidRPr="006D779C" w:rsidRDefault="00CA5F4D" w:rsidP="00EB5BBC">
            <w:pPr>
              <w:pStyle w:val="Heading3"/>
            </w:pPr>
            <w:r>
              <w:t>How is COBRA Coverage Provided?</w:t>
            </w:r>
          </w:p>
        </w:tc>
      </w:tr>
      <w:tr w:rsidR="00CA5F4D" w:rsidRPr="005114CE" w:rsidTr="00EB5BBC">
        <w:trPr>
          <w:trHeight w:val="2216"/>
          <w:jc w:val="center"/>
        </w:trPr>
        <w:tc>
          <w:tcPr>
            <w:tcW w:w="10195" w:type="dxa"/>
            <w:vAlign w:val="center"/>
          </w:tcPr>
          <w:p w:rsidR="00CA5F4D" w:rsidRDefault="00CA5F4D" w:rsidP="00CA5F4D">
            <w:pPr>
              <w:pStyle w:val="BodyText2"/>
              <w:spacing w:after="240"/>
              <w:jc w:val="left"/>
              <w:rPr>
                <w:b w:val="0"/>
              </w:rPr>
            </w:pPr>
            <w:r>
              <w:rPr>
                <w:b w:val="0"/>
              </w:rPr>
              <w:t>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coverage on behalf of their children.</w:t>
            </w:r>
          </w:p>
          <w:p w:rsidR="00CA5F4D" w:rsidRDefault="00CA5F4D" w:rsidP="00CA5F4D">
            <w:pPr>
              <w:pStyle w:val="BodyText2"/>
              <w:spacing w:after="240"/>
              <w:jc w:val="left"/>
              <w:rPr>
                <w:b w:val="0"/>
              </w:rPr>
            </w:pPr>
            <w:r>
              <w:rPr>
                <w:b w:val="0"/>
              </w:rPr>
              <w:t>COBRA continuation coverage is a temporary continuation of coverage.  When the qualifying event is the death of the employee, the employee’s becoming entitled to Medicare benefits (under Part A, Part B, or both), your divorce or legal separation, or a dependent child’s losing eligibility as a dependent child, COBRA continuation coverage lasts for up to a total of 36 months.  Under Wisconsin law if the qualifying event is death, the qualified beneficiaries are limited to 18 months of coverage.  (This applies to employer groups of fewer than 20 employees.)</w:t>
            </w:r>
          </w:p>
          <w:p w:rsidR="00CA5F4D" w:rsidRDefault="00CA5F4D" w:rsidP="00CA5F4D">
            <w:pPr>
              <w:pStyle w:val="BodyText2"/>
              <w:spacing w:after="240"/>
              <w:jc w:val="left"/>
              <w:rPr>
                <w:b w:val="0"/>
              </w:rPr>
            </w:pPr>
            <w:r>
              <w:rPr>
                <w:b w:val="0"/>
              </w:rPr>
              <w:t>When the qualifying event is the end of employment or reduction of the employee’s hours of employment, and the employee became entitled to Medicare benefits less than 18 months before the qualifying event, COBRA continuation coverage for qualified beneficiaries other than the employee lasts until 36 months after the date of Medicare entitlement.  For example, if a covered employee becomes entitled to Medicare 8 mon</w:t>
            </w:r>
            <w:r w:rsidR="00237640">
              <w:rPr>
                <w:b w:val="0"/>
              </w:rPr>
              <w:t xml:space="preserve">ths before the date on which their </w:t>
            </w:r>
            <w:r>
              <w:rPr>
                <w:b w:val="0"/>
              </w:rPr>
              <w:t>employment ter</w:t>
            </w:r>
            <w:r w:rsidR="00237640">
              <w:rPr>
                <w:b w:val="0"/>
              </w:rPr>
              <w:t>minates</w:t>
            </w:r>
            <w:r>
              <w:rPr>
                <w:b w:val="0"/>
              </w:rPr>
              <w:t xml:space="preserve">, COBRA continuation coverage for his spouse and children can last up to 36 months after the date of Medicare entitlement, which is equal to 28 months after the date of the </w:t>
            </w:r>
            <w:r>
              <w:rPr>
                <w:b w:val="0"/>
              </w:rPr>
              <w:lastRenderedPageBreak/>
              <w:t>qualifying event (36 months minus 8 months).  (State law does not make any provisions fo</w:t>
            </w:r>
            <w:r w:rsidR="00237640">
              <w:rPr>
                <w:b w:val="0"/>
              </w:rPr>
              <w:t>r this event; therefore this does</w:t>
            </w:r>
            <w:r>
              <w:rPr>
                <w:b w:val="0"/>
              </w:rPr>
              <w:t xml:space="preserve"> not apply to groups with under 20 employees.)</w:t>
            </w:r>
          </w:p>
          <w:p w:rsidR="00CA5F4D" w:rsidRDefault="00CA5F4D" w:rsidP="00CA5F4D">
            <w:pPr>
              <w:pStyle w:val="BodyText2"/>
              <w:spacing w:after="240"/>
              <w:jc w:val="left"/>
              <w:rPr>
                <w:b w:val="0"/>
              </w:rPr>
            </w:pPr>
            <w:r>
              <w:rPr>
                <w:b w:val="0"/>
              </w:rPr>
              <w:t>Otherwise, when the qualifying event is the end of employment or reduction of the employee’s hours of employment, COBRA continuation coverage generally lasts for only up to a total of 18 months.  There are two ways in which this 18-month period of COBRA continuation coverage can be extended.</w:t>
            </w:r>
          </w:p>
          <w:p w:rsidR="00CA5F4D" w:rsidRDefault="00CA5F4D" w:rsidP="00CA5F4D">
            <w:pPr>
              <w:pStyle w:val="BodyText2"/>
              <w:spacing w:after="240"/>
              <w:jc w:val="left"/>
              <w:rPr>
                <w:b w:val="0"/>
              </w:rPr>
            </w:pPr>
            <w:r>
              <w:rPr>
                <w:i/>
              </w:rPr>
              <w:t>Disability extension of 18-month period of continuation coverage</w:t>
            </w:r>
          </w:p>
          <w:p w:rsidR="00CA5F4D" w:rsidRDefault="00CA5F4D" w:rsidP="00CA5F4D">
            <w:pPr>
              <w:pStyle w:val="BodyText2"/>
              <w:spacing w:after="240"/>
              <w:jc w:val="left"/>
              <w:rPr>
                <w:b w:val="0"/>
              </w:rPr>
            </w:pPr>
            <w:r>
              <w:rPr>
                <w:b w:val="0"/>
              </w:rPr>
              <w:t xml:space="preserve">If you or anyone in your </w:t>
            </w:r>
            <w:r w:rsidR="005D1405">
              <w:rPr>
                <w:b w:val="0"/>
              </w:rPr>
              <w:t>in your family covered under the Plan is determined by the Social Security Administration to be disabled and you notify the Plan Administrator in a timely fashion, you and your entire family may be entitled to receive up to an additional 11 months of COBRA continuation coverage, for a total maximum of 29 months.  The disability would have to have started at some time before the 60</w:t>
            </w:r>
            <w:r w:rsidR="005D1405" w:rsidRPr="005D1405">
              <w:rPr>
                <w:b w:val="0"/>
                <w:vertAlign w:val="superscript"/>
              </w:rPr>
              <w:t>th</w:t>
            </w:r>
            <w:r w:rsidR="005D1405">
              <w:rPr>
                <w:b w:val="0"/>
              </w:rPr>
              <w:t xml:space="preserve"> day of COBRA continuation coverage and must last at least until the end of the 18-month period of continuation coverage.</w:t>
            </w:r>
          </w:p>
          <w:p w:rsidR="005D1405" w:rsidRDefault="005D1405" w:rsidP="00CA5F4D">
            <w:pPr>
              <w:pStyle w:val="BodyText2"/>
              <w:spacing w:after="240"/>
              <w:jc w:val="left"/>
              <w:rPr>
                <w:b w:val="0"/>
              </w:rPr>
            </w:pPr>
            <w:r>
              <w:rPr>
                <w:b w:val="0"/>
              </w:rPr>
              <w:t>Under Wisconsin State law, the law only allows 18 months of continuation coverage for disabled individuals.  (This applies to employer groups of fewer than 20 employees.)  Coverage may end if you establish residence outside of Wisconsin or become eligible for another group hospital and medical plan that does not have preexisting conditions.</w:t>
            </w:r>
          </w:p>
          <w:p w:rsidR="005D1405" w:rsidRDefault="005D1405" w:rsidP="00CA5F4D">
            <w:pPr>
              <w:pStyle w:val="BodyText2"/>
              <w:spacing w:after="240"/>
              <w:jc w:val="left"/>
              <w:rPr>
                <w:b w:val="0"/>
              </w:rPr>
            </w:pPr>
            <w:r>
              <w:rPr>
                <w:i/>
              </w:rPr>
              <w:t>Second qualifying event extension of 18-month period of continuation coverage</w:t>
            </w:r>
          </w:p>
          <w:p w:rsidR="005D1405" w:rsidRDefault="005D1405" w:rsidP="00CA5F4D">
            <w:pPr>
              <w:pStyle w:val="BodyText2"/>
              <w:spacing w:after="240"/>
              <w:jc w:val="left"/>
              <w:rPr>
                <w:b w:val="0"/>
              </w:rPr>
            </w:pPr>
            <w:r>
              <w:rPr>
                <w:b w:val="0"/>
              </w:rPr>
              <w:t>If your family experiences a second qualifying event while receiving 18 months of COBRA continuation based on a reduction in hours or loss of employment coverage, the spouse and dependent children in your family can get up to 18 additional months of COBRA continuation coverage, for a maximum of 36 months, if notice of the second qualifying event is properly given to the Plan.  This extension may be available to the spouse and any dependent children receiving continuation coverage if the employee or former employee dies, becomes entitled to Medicare benefits (under Part A, Part B, or both), gets divorced, or if the dependent child stops being eligible under the Plan as a dependent child, but only if the event would have caused the spouse or dependent child to lose coverage under the Plan had the first qualifying event not occurred.</w:t>
            </w:r>
          </w:p>
          <w:p w:rsidR="005D1405" w:rsidRDefault="005D1405" w:rsidP="00CA5F4D">
            <w:pPr>
              <w:pStyle w:val="BodyText2"/>
              <w:spacing w:after="240"/>
              <w:jc w:val="left"/>
              <w:rPr>
                <w:b w:val="0"/>
              </w:rPr>
            </w:pPr>
            <w:r>
              <w:rPr>
                <w:b w:val="0"/>
              </w:rPr>
              <w:t>Under Wisconsin State law the maximum amount of continuation coverage available when experiencing the second qualifying event of divorce is variable.  The qualified beneficiary may stay on the Plan until the former spouse establishes residence outside of Wisconsin, or until the employee loses coverage under the group policy.</w:t>
            </w:r>
          </w:p>
          <w:p w:rsidR="005D1405" w:rsidRDefault="005D1405" w:rsidP="00CA5F4D">
            <w:pPr>
              <w:pStyle w:val="BodyText2"/>
              <w:spacing w:after="240"/>
              <w:jc w:val="left"/>
              <w:rPr>
                <w:b w:val="0"/>
              </w:rPr>
            </w:pPr>
            <w:r>
              <w:rPr>
                <w:b w:val="0"/>
              </w:rPr>
              <w:t>In the case of death of an employee, Wisconsin law allows the surviving spouse and dependent children to continue for 18 months, until they establish residence outside of Wisconsin, or until they become eligible for coverage under another group hospital and medical plan that does not have a preexisting condition.</w:t>
            </w:r>
          </w:p>
          <w:p w:rsidR="005D1405" w:rsidRPr="005D1405" w:rsidRDefault="005D1405" w:rsidP="00CA5F4D">
            <w:pPr>
              <w:pStyle w:val="BodyText2"/>
              <w:spacing w:after="240"/>
              <w:jc w:val="left"/>
              <w:rPr>
                <w:b w:val="0"/>
              </w:rPr>
            </w:pPr>
            <w:r>
              <w:rPr>
                <w:b w:val="0"/>
              </w:rPr>
              <w:t>(This applies to employer groups of fewer than 20 employees.)</w:t>
            </w:r>
          </w:p>
        </w:tc>
      </w:tr>
      <w:tr w:rsidR="00CA5F4D" w:rsidRPr="006D779C" w:rsidTr="00EB5BBC">
        <w:trPr>
          <w:trHeight w:hRule="exact" w:val="288"/>
          <w:jc w:val="center"/>
        </w:trPr>
        <w:tc>
          <w:tcPr>
            <w:tcW w:w="10195" w:type="dxa"/>
            <w:shd w:val="clear" w:color="auto" w:fill="000000"/>
            <w:vAlign w:val="center"/>
          </w:tcPr>
          <w:p w:rsidR="00CA5F4D" w:rsidRPr="006D779C" w:rsidRDefault="005D1405" w:rsidP="00EB5BBC">
            <w:pPr>
              <w:pStyle w:val="Heading3"/>
            </w:pPr>
            <w:r>
              <w:lastRenderedPageBreak/>
              <w:t>If you Have Questions</w:t>
            </w:r>
          </w:p>
        </w:tc>
      </w:tr>
      <w:tr w:rsidR="00CA5F4D" w:rsidRPr="005114CE" w:rsidTr="00EB5BBC">
        <w:trPr>
          <w:trHeight w:val="2216"/>
          <w:jc w:val="center"/>
        </w:trPr>
        <w:tc>
          <w:tcPr>
            <w:tcW w:w="10195" w:type="dxa"/>
            <w:vAlign w:val="center"/>
          </w:tcPr>
          <w:p w:rsidR="00CA5F4D" w:rsidRPr="005D1405" w:rsidRDefault="005D1405" w:rsidP="005D1405">
            <w:pPr>
              <w:pStyle w:val="BodyText2"/>
              <w:jc w:val="left"/>
              <w:rPr>
                <w:b w:val="0"/>
              </w:rPr>
            </w:pPr>
            <w:r>
              <w:rPr>
                <w:b w:val="0"/>
              </w:rPr>
              <w:t xml:space="preserve">Questions concerning your Plan or your COBRA continuation coverage rights should be addressed to the contact or contacts identified below.  For more information about your rights under ERISA, including COBRA, the Health Insurance Portability and Accountability Act (HIPAA), and other laws affecting group health plans, contact the nearest Regional or District Office of the U.S. Department of Labor’s Employee </w:t>
            </w:r>
            <w:r w:rsidR="00C452E2">
              <w:rPr>
                <w:b w:val="0"/>
              </w:rPr>
              <w:t xml:space="preserve">Benefits Security Administration (EBSA) in your area or visit the EBSA website at </w:t>
            </w:r>
            <w:hyperlink r:id="rId8" w:history="1">
              <w:r w:rsidR="00C452E2" w:rsidRPr="003523F7">
                <w:rPr>
                  <w:rStyle w:val="Hyperlink"/>
                  <w:b w:val="0"/>
                </w:rPr>
                <w:t>www.dol.gov/ebsa</w:t>
              </w:r>
            </w:hyperlink>
            <w:r w:rsidR="00C452E2">
              <w:rPr>
                <w:b w:val="0"/>
              </w:rPr>
              <w:t>.  (Addresses and phone numbers of Regional and District EBSA Offices are available through EBSA’s website.)</w:t>
            </w:r>
          </w:p>
        </w:tc>
      </w:tr>
    </w:tbl>
    <w:p w:rsidR="005318BA" w:rsidRDefault="005318BA">
      <w:r>
        <w:rPr>
          <w:b/>
        </w:rPr>
        <w:br w:type="page"/>
      </w:r>
    </w:p>
    <w:tbl>
      <w:tblPr>
        <w:tblW w:w="10195" w:type="dxa"/>
        <w:jc w:val="center"/>
        <w:tblLayout w:type="fixed"/>
        <w:tblLook w:val="0000"/>
      </w:tblPr>
      <w:tblGrid>
        <w:gridCol w:w="3398"/>
        <w:gridCol w:w="3398"/>
        <w:gridCol w:w="3399"/>
      </w:tblGrid>
      <w:tr w:rsidR="005D1405" w:rsidRPr="006D779C" w:rsidTr="00EB5BBC">
        <w:trPr>
          <w:trHeight w:hRule="exact" w:val="288"/>
          <w:jc w:val="center"/>
        </w:trPr>
        <w:tc>
          <w:tcPr>
            <w:tcW w:w="10195" w:type="dxa"/>
            <w:gridSpan w:val="3"/>
            <w:shd w:val="clear" w:color="auto" w:fill="000000"/>
            <w:vAlign w:val="center"/>
          </w:tcPr>
          <w:p w:rsidR="005D1405" w:rsidRPr="006D779C" w:rsidRDefault="00C452E2" w:rsidP="00EB5BBC">
            <w:pPr>
              <w:pStyle w:val="Heading3"/>
            </w:pPr>
            <w:r>
              <w:lastRenderedPageBreak/>
              <w:t>Keep Your Plan Informed of Address Changes</w:t>
            </w:r>
          </w:p>
        </w:tc>
      </w:tr>
      <w:tr w:rsidR="005D1405" w:rsidRPr="005114CE" w:rsidTr="00EB5BBC">
        <w:trPr>
          <w:trHeight w:val="2216"/>
          <w:jc w:val="center"/>
        </w:trPr>
        <w:tc>
          <w:tcPr>
            <w:tcW w:w="10195" w:type="dxa"/>
            <w:gridSpan w:val="3"/>
            <w:vAlign w:val="center"/>
          </w:tcPr>
          <w:p w:rsidR="005D1405" w:rsidRDefault="00C452E2" w:rsidP="00C452E2">
            <w:pPr>
              <w:pStyle w:val="BodyText2"/>
              <w:jc w:val="left"/>
              <w:rPr>
                <w:b w:val="0"/>
              </w:rPr>
            </w:pPr>
            <w:r>
              <w:rPr>
                <w:b w:val="0"/>
              </w:rPr>
              <w:t>In order to protect your family’s rights, you should keep the Plan Administrator informed of any changes in the addresses of your family members.  You should also keep a copy, for your records, of any notices you send to the Plan Administrator.</w:t>
            </w:r>
          </w:p>
          <w:p w:rsidR="00C452E2" w:rsidRDefault="00C452E2" w:rsidP="00C452E2">
            <w:pPr>
              <w:pStyle w:val="BodyText2"/>
              <w:jc w:val="left"/>
              <w:rPr>
                <w:b w:val="0"/>
              </w:rPr>
            </w:pPr>
          </w:p>
          <w:p w:rsidR="00C452E2" w:rsidRPr="00C452E2" w:rsidRDefault="00C452E2" w:rsidP="00C452E2">
            <w:pPr>
              <w:pStyle w:val="BodyText2"/>
              <w:jc w:val="left"/>
              <w:rPr>
                <w:b w:val="0"/>
              </w:rPr>
            </w:pPr>
            <w:r>
              <w:rPr>
                <w:b w:val="0"/>
              </w:rPr>
              <w:t>Plan Contact Information:</w:t>
            </w:r>
          </w:p>
        </w:tc>
      </w:tr>
      <w:tr w:rsidR="00C452E2" w:rsidRPr="005114CE" w:rsidTr="00E51E52">
        <w:trPr>
          <w:trHeight w:val="2216"/>
          <w:jc w:val="center"/>
        </w:trPr>
        <w:tc>
          <w:tcPr>
            <w:tcW w:w="3398" w:type="dxa"/>
            <w:vAlign w:val="center"/>
          </w:tcPr>
          <w:p w:rsidR="00237640" w:rsidRDefault="00237640" w:rsidP="00C452E2">
            <w:pPr>
              <w:pStyle w:val="Heading3"/>
              <w:rPr>
                <w:b w:val="0"/>
                <w:color w:val="auto"/>
              </w:rPr>
            </w:pPr>
          </w:p>
          <w:p w:rsidR="00C452E2" w:rsidRPr="00C452E2" w:rsidRDefault="00C452E2" w:rsidP="00C452E2">
            <w:pPr>
              <w:pStyle w:val="Heading3"/>
              <w:rPr>
                <w:b w:val="0"/>
                <w:color w:val="auto"/>
              </w:rPr>
            </w:pPr>
            <w:r w:rsidRPr="00C452E2">
              <w:rPr>
                <w:b w:val="0"/>
                <w:color w:val="auto"/>
              </w:rPr>
              <w:t>Johnson Motor Sales, Inc.</w:t>
            </w:r>
          </w:p>
          <w:p w:rsidR="00C452E2" w:rsidRPr="00C452E2" w:rsidRDefault="00754FF2" w:rsidP="00C452E2">
            <w:pPr>
              <w:jc w:val="center"/>
              <w:rPr>
                <w:sz w:val="20"/>
                <w:szCs w:val="20"/>
              </w:rPr>
            </w:pPr>
            <w:r>
              <w:rPr>
                <w:sz w:val="20"/>
                <w:szCs w:val="20"/>
              </w:rPr>
              <w:t>Brad Lutz, HR Administrator</w:t>
            </w:r>
          </w:p>
          <w:p w:rsidR="00C452E2" w:rsidRPr="00C452E2" w:rsidRDefault="00C452E2" w:rsidP="00C452E2">
            <w:pPr>
              <w:jc w:val="center"/>
              <w:rPr>
                <w:sz w:val="20"/>
                <w:szCs w:val="20"/>
              </w:rPr>
            </w:pPr>
            <w:r w:rsidRPr="00C452E2">
              <w:rPr>
                <w:sz w:val="20"/>
                <w:szCs w:val="20"/>
              </w:rPr>
              <w:t>620 Deere Drive</w:t>
            </w:r>
          </w:p>
          <w:p w:rsidR="00C452E2" w:rsidRPr="00C452E2" w:rsidRDefault="00C452E2" w:rsidP="00C452E2">
            <w:pPr>
              <w:jc w:val="center"/>
              <w:rPr>
                <w:sz w:val="20"/>
                <w:szCs w:val="20"/>
              </w:rPr>
            </w:pPr>
            <w:r w:rsidRPr="00C452E2">
              <w:rPr>
                <w:sz w:val="20"/>
                <w:szCs w:val="20"/>
              </w:rPr>
              <w:t>New Richmond, WI 54017</w:t>
            </w:r>
          </w:p>
          <w:p w:rsidR="00C452E2" w:rsidRPr="00C452E2" w:rsidRDefault="00C452E2" w:rsidP="00C452E2">
            <w:pPr>
              <w:jc w:val="center"/>
              <w:rPr>
                <w:sz w:val="20"/>
                <w:szCs w:val="20"/>
              </w:rPr>
            </w:pPr>
          </w:p>
          <w:p w:rsidR="00C452E2" w:rsidRPr="00C452E2" w:rsidRDefault="00C452E2" w:rsidP="00C452E2">
            <w:pPr>
              <w:jc w:val="center"/>
              <w:rPr>
                <w:sz w:val="20"/>
                <w:szCs w:val="20"/>
              </w:rPr>
            </w:pPr>
            <w:r>
              <w:rPr>
                <w:sz w:val="20"/>
                <w:szCs w:val="20"/>
              </w:rPr>
              <w:t xml:space="preserve">Phone: </w:t>
            </w:r>
            <w:r w:rsidRPr="00C452E2">
              <w:rPr>
                <w:sz w:val="20"/>
                <w:szCs w:val="20"/>
              </w:rPr>
              <w:t>715-246-2261</w:t>
            </w:r>
          </w:p>
          <w:p w:rsidR="00C452E2" w:rsidRPr="00C452E2" w:rsidRDefault="00C452E2" w:rsidP="00C452E2">
            <w:pPr>
              <w:jc w:val="center"/>
              <w:rPr>
                <w:sz w:val="20"/>
                <w:szCs w:val="20"/>
              </w:rPr>
            </w:pPr>
          </w:p>
        </w:tc>
        <w:tc>
          <w:tcPr>
            <w:tcW w:w="3398" w:type="dxa"/>
            <w:vAlign w:val="center"/>
          </w:tcPr>
          <w:p w:rsidR="00237640" w:rsidRDefault="00C452E2" w:rsidP="00237640">
            <w:pPr>
              <w:pStyle w:val="Heading3"/>
              <w:rPr>
                <w:b w:val="0"/>
                <w:color w:val="auto"/>
              </w:rPr>
            </w:pPr>
            <w:r w:rsidRPr="00C452E2">
              <w:rPr>
                <w:b w:val="0"/>
                <w:color w:val="auto"/>
              </w:rPr>
              <w:t>Johnson Motors of</w:t>
            </w:r>
          </w:p>
          <w:p w:rsidR="00C452E2" w:rsidRPr="00C452E2" w:rsidRDefault="00C452E2" w:rsidP="00237640">
            <w:pPr>
              <w:pStyle w:val="Heading3"/>
              <w:rPr>
                <w:b w:val="0"/>
                <w:color w:val="auto"/>
              </w:rPr>
            </w:pPr>
            <w:r w:rsidRPr="00C452E2">
              <w:rPr>
                <w:b w:val="0"/>
                <w:color w:val="auto"/>
              </w:rPr>
              <w:t xml:space="preserve"> Menomonie, Inc.</w:t>
            </w:r>
          </w:p>
          <w:p w:rsidR="00C452E2" w:rsidRPr="00C452E2" w:rsidRDefault="00754FF2" w:rsidP="00754FF2">
            <w:pPr>
              <w:jc w:val="center"/>
              <w:rPr>
                <w:sz w:val="20"/>
                <w:szCs w:val="20"/>
              </w:rPr>
            </w:pPr>
            <w:r>
              <w:rPr>
                <w:sz w:val="20"/>
                <w:szCs w:val="20"/>
              </w:rPr>
              <w:t>Brad Lutz, HR Administrator</w:t>
            </w:r>
            <w:r w:rsidR="00530C31">
              <w:rPr>
                <w:sz w:val="20"/>
                <w:szCs w:val="20"/>
              </w:rPr>
              <w:br/>
            </w:r>
            <w:r w:rsidR="00C452E2" w:rsidRPr="00C452E2">
              <w:rPr>
                <w:sz w:val="20"/>
                <w:szCs w:val="20"/>
              </w:rPr>
              <w:t>1603 Hwy 12 West</w:t>
            </w:r>
          </w:p>
          <w:p w:rsidR="00C452E2" w:rsidRPr="00C452E2" w:rsidRDefault="00C452E2" w:rsidP="00C452E2">
            <w:pPr>
              <w:jc w:val="center"/>
              <w:rPr>
                <w:sz w:val="20"/>
                <w:szCs w:val="20"/>
              </w:rPr>
            </w:pPr>
            <w:r w:rsidRPr="00C452E2">
              <w:rPr>
                <w:sz w:val="20"/>
                <w:szCs w:val="20"/>
              </w:rPr>
              <w:t>Menomonie, WI  54751</w:t>
            </w:r>
          </w:p>
          <w:p w:rsidR="00C452E2" w:rsidRPr="00C452E2" w:rsidRDefault="00C452E2" w:rsidP="00C452E2">
            <w:pPr>
              <w:jc w:val="center"/>
              <w:rPr>
                <w:sz w:val="20"/>
                <w:szCs w:val="20"/>
              </w:rPr>
            </w:pPr>
          </w:p>
          <w:p w:rsidR="00C452E2" w:rsidRPr="00C452E2" w:rsidRDefault="00C452E2" w:rsidP="00C452E2">
            <w:pPr>
              <w:jc w:val="center"/>
              <w:rPr>
                <w:sz w:val="20"/>
                <w:szCs w:val="20"/>
              </w:rPr>
            </w:pPr>
            <w:r>
              <w:rPr>
                <w:sz w:val="20"/>
                <w:szCs w:val="20"/>
              </w:rPr>
              <w:t xml:space="preserve">Phone: </w:t>
            </w:r>
            <w:r w:rsidRPr="00C452E2">
              <w:rPr>
                <w:sz w:val="20"/>
                <w:szCs w:val="20"/>
              </w:rPr>
              <w:t>715-235-1000</w:t>
            </w:r>
          </w:p>
        </w:tc>
        <w:tc>
          <w:tcPr>
            <w:tcW w:w="3399" w:type="dxa"/>
            <w:vAlign w:val="center"/>
          </w:tcPr>
          <w:p w:rsidR="00C452E2" w:rsidRDefault="00C452E2" w:rsidP="00C452E2">
            <w:pPr>
              <w:pStyle w:val="Heading3"/>
              <w:rPr>
                <w:b w:val="0"/>
                <w:color w:val="auto"/>
              </w:rPr>
            </w:pPr>
            <w:r w:rsidRPr="00C452E2">
              <w:rPr>
                <w:b w:val="0"/>
                <w:color w:val="auto"/>
              </w:rPr>
              <w:t xml:space="preserve">Johnson Motors of </w:t>
            </w:r>
          </w:p>
          <w:p w:rsidR="00C452E2" w:rsidRPr="00C452E2" w:rsidRDefault="00C452E2" w:rsidP="00C452E2">
            <w:pPr>
              <w:pStyle w:val="Heading3"/>
              <w:rPr>
                <w:b w:val="0"/>
                <w:color w:val="auto"/>
              </w:rPr>
            </w:pPr>
            <w:r w:rsidRPr="00C452E2">
              <w:rPr>
                <w:b w:val="0"/>
                <w:color w:val="auto"/>
              </w:rPr>
              <w:t>St. Croix Falls, Inc.</w:t>
            </w:r>
          </w:p>
          <w:p w:rsidR="00754FF2" w:rsidRPr="00C452E2" w:rsidRDefault="00754FF2" w:rsidP="00754FF2">
            <w:pPr>
              <w:jc w:val="center"/>
              <w:rPr>
                <w:sz w:val="20"/>
                <w:szCs w:val="20"/>
              </w:rPr>
            </w:pPr>
            <w:r>
              <w:rPr>
                <w:sz w:val="20"/>
                <w:szCs w:val="20"/>
              </w:rPr>
              <w:t>Brad Lutz, HR Administrator</w:t>
            </w:r>
          </w:p>
          <w:p w:rsidR="00C452E2" w:rsidRPr="00C452E2" w:rsidRDefault="00C452E2" w:rsidP="00C452E2">
            <w:pPr>
              <w:jc w:val="center"/>
              <w:rPr>
                <w:sz w:val="20"/>
                <w:szCs w:val="20"/>
              </w:rPr>
            </w:pPr>
            <w:r w:rsidRPr="00C452E2">
              <w:rPr>
                <w:sz w:val="20"/>
                <w:szCs w:val="20"/>
              </w:rPr>
              <w:t>2180 Highway 8</w:t>
            </w:r>
          </w:p>
          <w:p w:rsidR="00C452E2" w:rsidRPr="00C452E2" w:rsidRDefault="00C452E2" w:rsidP="00C452E2">
            <w:pPr>
              <w:jc w:val="center"/>
              <w:rPr>
                <w:sz w:val="20"/>
                <w:szCs w:val="20"/>
              </w:rPr>
            </w:pPr>
            <w:r w:rsidRPr="00C452E2">
              <w:rPr>
                <w:sz w:val="20"/>
                <w:szCs w:val="20"/>
              </w:rPr>
              <w:t>St. Croix Falls, WI  54024</w:t>
            </w:r>
          </w:p>
          <w:p w:rsidR="00C452E2" w:rsidRPr="00C452E2" w:rsidRDefault="00C452E2" w:rsidP="00C452E2">
            <w:pPr>
              <w:jc w:val="center"/>
              <w:rPr>
                <w:sz w:val="20"/>
                <w:szCs w:val="20"/>
              </w:rPr>
            </w:pPr>
          </w:p>
          <w:p w:rsidR="00C452E2" w:rsidRPr="00C452E2" w:rsidRDefault="00C452E2" w:rsidP="00C452E2">
            <w:pPr>
              <w:jc w:val="center"/>
              <w:rPr>
                <w:sz w:val="20"/>
                <w:szCs w:val="20"/>
              </w:rPr>
            </w:pPr>
            <w:r>
              <w:rPr>
                <w:sz w:val="20"/>
                <w:szCs w:val="20"/>
              </w:rPr>
              <w:t xml:space="preserve">Phone: </w:t>
            </w:r>
            <w:r w:rsidRPr="00C452E2">
              <w:rPr>
                <w:sz w:val="20"/>
                <w:szCs w:val="20"/>
              </w:rPr>
              <w:t>715-483-2000</w:t>
            </w:r>
          </w:p>
        </w:tc>
      </w:tr>
    </w:tbl>
    <w:p w:rsidR="005F6E87" w:rsidRPr="004E34C6" w:rsidRDefault="005F6E87" w:rsidP="00CC6BB1"/>
    <w:sectPr w:rsidR="005F6E87" w:rsidRPr="004E34C6" w:rsidSect="005318BA">
      <w:footerReference w:type="default" r:id="rId9"/>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B9C" w:rsidRPr="005318BA" w:rsidRDefault="00144B9C" w:rsidP="005318BA">
      <w:pPr>
        <w:pStyle w:val="BodyText2"/>
        <w:rPr>
          <w:b w:val="0"/>
          <w:sz w:val="24"/>
          <w:szCs w:val="24"/>
        </w:rPr>
      </w:pPr>
      <w:r>
        <w:separator/>
      </w:r>
    </w:p>
  </w:endnote>
  <w:endnote w:type="continuationSeparator" w:id="1">
    <w:p w:rsidR="00144B9C" w:rsidRPr="005318BA" w:rsidRDefault="00144B9C" w:rsidP="005318BA">
      <w:pPr>
        <w:pStyle w:val="BodyText2"/>
        <w:rPr>
          <w:b w:val="0"/>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4414"/>
      <w:docPartObj>
        <w:docPartGallery w:val="Page Numbers (Bottom of Page)"/>
        <w:docPartUnique/>
      </w:docPartObj>
    </w:sdtPr>
    <w:sdtContent>
      <w:sdt>
        <w:sdtPr>
          <w:id w:val="565050523"/>
          <w:docPartObj>
            <w:docPartGallery w:val="Page Numbers (Top of Page)"/>
            <w:docPartUnique/>
          </w:docPartObj>
        </w:sdtPr>
        <w:sdtContent>
          <w:p w:rsidR="005318BA" w:rsidRDefault="005318BA">
            <w:pPr>
              <w:pStyle w:val="Footer"/>
              <w:jc w:val="right"/>
            </w:pPr>
            <w:r>
              <w:t xml:space="preserve">Page </w:t>
            </w:r>
            <w:r w:rsidR="00714029">
              <w:rPr>
                <w:b/>
              </w:rPr>
              <w:fldChar w:fldCharType="begin"/>
            </w:r>
            <w:r>
              <w:rPr>
                <w:b/>
              </w:rPr>
              <w:instrText xml:space="preserve"> PAGE </w:instrText>
            </w:r>
            <w:r w:rsidR="00714029">
              <w:rPr>
                <w:b/>
              </w:rPr>
              <w:fldChar w:fldCharType="separate"/>
            </w:r>
            <w:r w:rsidR="00754FF2">
              <w:rPr>
                <w:b/>
                <w:noProof/>
              </w:rPr>
              <w:t>4</w:t>
            </w:r>
            <w:r w:rsidR="00714029">
              <w:rPr>
                <w:b/>
              </w:rPr>
              <w:fldChar w:fldCharType="end"/>
            </w:r>
            <w:r>
              <w:t xml:space="preserve"> of </w:t>
            </w:r>
            <w:r w:rsidR="00714029">
              <w:rPr>
                <w:b/>
              </w:rPr>
              <w:fldChar w:fldCharType="begin"/>
            </w:r>
            <w:r>
              <w:rPr>
                <w:b/>
              </w:rPr>
              <w:instrText xml:space="preserve"> NUMPAGES  </w:instrText>
            </w:r>
            <w:r w:rsidR="00714029">
              <w:rPr>
                <w:b/>
              </w:rPr>
              <w:fldChar w:fldCharType="separate"/>
            </w:r>
            <w:r w:rsidR="00754FF2">
              <w:rPr>
                <w:b/>
                <w:noProof/>
              </w:rPr>
              <w:t>4</w:t>
            </w:r>
            <w:r w:rsidR="00714029">
              <w:rPr>
                <w:b/>
              </w:rPr>
              <w:fldChar w:fldCharType="end"/>
            </w:r>
          </w:p>
        </w:sdtContent>
      </w:sdt>
    </w:sdtContent>
  </w:sdt>
  <w:p w:rsidR="005318BA" w:rsidRDefault="005318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B9C" w:rsidRPr="005318BA" w:rsidRDefault="00144B9C" w:rsidP="005318BA">
      <w:pPr>
        <w:pStyle w:val="BodyText2"/>
        <w:rPr>
          <w:b w:val="0"/>
          <w:sz w:val="24"/>
          <w:szCs w:val="24"/>
        </w:rPr>
      </w:pPr>
      <w:r>
        <w:separator/>
      </w:r>
    </w:p>
  </w:footnote>
  <w:footnote w:type="continuationSeparator" w:id="1">
    <w:p w:rsidR="00144B9C" w:rsidRPr="005318BA" w:rsidRDefault="00144B9C" w:rsidP="005318BA">
      <w:pPr>
        <w:pStyle w:val="BodyText2"/>
        <w:rPr>
          <w:b w:val="0"/>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D8BB8C"/>
    <w:lvl w:ilvl="0">
      <w:start w:val="1"/>
      <w:numFmt w:val="decimal"/>
      <w:lvlText w:val="%1."/>
      <w:lvlJc w:val="left"/>
      <w:pPr>
        <w:tabs>
          <w:tab w:val="num" w:pos="1800"/>
        </w:tabs>
        <w:ind w:left="1800" w:hanging="360"/>
      </w:pPr>
    </w:lvl>
  </w:abstractNum>
  <w:abstractNum w:abstractNumId="1">
    <w:nsid w:val="FFFFFF7D"/>
    <w:multiLevelType w:val="singleLevel"/>
    <w:tmpl w:val="DBA4AF4C"/>
    <w:lvl w:ilvl="0">
      <w:start w:val="1"/>
      <w:numFmt w:val="decimal"/>
      <w:lvlText w:val="%1."/>
      <w:lvlJc w:val="left"/>
      <w:pPr>
        <w:tabs>
          <w:tab w:val="num" w:pos="1440"/>
        </w:tabs>
        <w:ind w:left="1440" w:hanging="360"/>
      </w:pPr>
    </w:lvl>
  </w:abstractNum>
  <w:abstractNum w:abstractNumId="2">
    <w:nsid w:val="FFFFFF7E"/>
    <w:multiLevelType w:val="singleLevel"/>
    <w:tmpl w:val="6046D8BC"/>
    <w:lvl w:ilvl="0">
      <w:start w:val="1"/>
      <w:numFmt w:val="decimal"/>
      <w:lvlText w:val="%1."/>
      <w:lvlJc w:val="left"/>
      <w:pPr>
        <w:tabs>
          <w:tab w:val="num" w:pos="1080"/>
        </w:tabs>
        <w:ind w:left="1080" w:hanging="360"/>
      </w:pPr>
    </w:lvl>
  </w:abstractNum>
  <w:abstractNum w:abstractNumId="3">
    <w:nsid w:val="FFFFFF7F"/>
    <w:multiLevelType w:val="singleLevel"/>
    <w:tmpl w:val="7AA0CFEA"/>
    <w:lvl w:ilvl="0">
      <w:start w:val="1"/>
      <w:numFmt w:val="decimal"/>
      <w:lvlText w:val="%1."/>
      <w:lvlJc w:val="left"/>
      <w:pPr>
        <w:tabs>
          <w:tab w:val="num" w:pos="720"/>
        </w:tabs>
        <w:ind w:left="720" w:hanging="360"/>
      </w:pPr>
    </w:lvl>
  </w:abstractNum>
  <w:abstractNum w:abstractNumId="4">
    <w:nsid w:val="FFFFFF80"/>
    <w:multiLevelType w:val="singleLevel"/>
    <w:tmpl w:val="5EAEC24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B00D2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0C42D2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5D621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80CE8C2"/>
    <w:lvl w:ilvl="0">
      <w:start w:val="1"/>
      <w:numFmt w:val="decimal"/>
      <w:lvlText w:val="%1."/>
      <w:lvlJc w:val="left"/>
      <w:pPr>
        <w:tabs>
          <w:tab w:val="num" w:pos="360"/>
        </w:tabs>
        <w:ind w:left="360" w:hanging="360"/>
      </w:pPr>
    </w:lvl>
  </w:abstractNum>
  <w:abstractNum w:abstractNumId="9">
    <w:nsid w:val="FFFFFF89"/>
    <w:multiLevelType w:val="singleLevel"/>
    <w:tmpl w:val="399EDF5E"/>
    <w:lvl w:ilvl="0">
      <w:start w:val="1"/>
      <w:numFmt w:val="bullet"/>
      <w:lvlText w:val=""/>
      <w:lvlJc w:val="left"/>
      <w:pPr>
        <w:tabs>
          <w:tab w:val="num" w:pos="360"/>
        </w:tabs>
        <w:ind w:left="360" w:hanging="360"/>
      </w:pPr>
      <w:rPr>
        <w:rFonts w:ascii="Symbol" w:hAnsi="Symbol" w:hint="default"/>
      </w:rPr>
    </w:lvl>
  </w:abstractNum>
  <w:abstractNum w:abstractNumId="10">
    <w:nsid w:val="0FE921D3"/>
    <w:multiLevelType w:val="hybridMultilevel"/>
    <w:tmpl w:val="AB0212C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C99331B"/>
    <w:multiLevelType w:val="hybridMultilevel"/>
    <w:tmpl w:val="B546DE6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FE51F12"/>
    <w:multiLevelType w:val="hybridMultilevel"/>
    <w:tmpl w:val="40985F6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FBA7A0F"/>
    <w:multiLevelType w:val="hybridMultilevel"/>
    <w:tmpl w:val="B5FC354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001"/>
  <w:defaultTabStop w:val="720"/>
  <w:noPunctuationKerning/>
  <w:characterSpacingControl w:val="doNotCompress"/>
  <w:footnotePr>
    <w:footnote w:id="0"/>
    <w:footnote w:id="1"/>
  </w:footnotePr>
  <w:endnotePr>
    <w:endnote w:id="0"/>
    <w:endnote w:id="1"/>
  </w:endnotePr>
  <w:compat/>
  <w:rsids>
    <w:rsidRoot w:val="007C4DEC"/>
    <w:rsid w:val="00002D5D"/>
    <w:rsid w:val="000071F7"/>
    <w:rsid w:val="0002798A"/>
    <w:rsid w:val="000406CB"/>
    <w:rsid w:val="00083002"/>
    <w:rsid w:val="00087B85"/>
    <w:rsid w:val="000A01F1"/>
    <w:rsid w:val="000C1163"/>
    <w:rsid w:val="000D2539"/>
    <w:rsid w:val="000F2DF4"/>
    <w:rsid w:val="000F5617"/>
    <w:rsid w:val="000F6783"/>
    <w:rsid w:val="00120C95"/>
    <w:rsid w:val="00122378"/>
    <w:rsid w:val="00144B9C"/>
    <w:rsid w:val="0014663E"/>
    <w:rsid w:val="00180664"/>
    <w:rsid w:val="002123A6"/>
    <w:rsid w:val="002323C5"/>
    <w:rsid w:val="00237640"/>
    <w:rsid w:val="00250014"/>
    <w:rsid w:val="00251DEA"/>
    <w:rsid w:val="00275BB5"/>
    <w:rsid w:val="00277CF7"/>
    <w:rsid w:val="002868F1"/>
    <w:rsid w:val="00286F6A"/>
    <w:rsid w:val="00291C8C"/>
    <w:rsid w:val="002A1ECE"/>
    <w:rsid w:val="002A2510"/>
    <w:rsid w:val="002B27FD"/>
    <w:rsid w:val="002B4D1D"/>
    <w:rsid w:val="002C10B1"/>
    <w:rsid w:val="002D0D1C"/>
    <w:rsid w:val="002D222A"/>
    <w:rsid w:val="003076FD"/>
    <w:rsid w:val="00317005"/>
    <w:rsid w:val="00335259"/>
    <w:rsid w:val="0036060E"/>
    <w:rsid w:val="003929F1"/>
    <w:rsid w:val="003A1B63"/>
    <w:rsid w:val="003A41A1"/>
    <w:rsid w:val="003B2326"/>
    <w:rsid w:val="00437ED0"/>
    <w:rsid w:val="00437F00"/>
    <w:rsid w:val="00440CD8"/>
    <w:rsid w:val="00443837"/>
    <w:rsid w:val="00450F66"/>
    <w:rsid w:val="00461739"/>
    <w:rsid w:val="00467865"/>
    <w:rsid w:val="0048685F"/>
    <w:rsid w:val="004A1437"/>
    <w:rsid w:val="004A4198"/>
    <w:rsid w:val="004A54EA"/>
    <w:rsid w:val="004B0578"/>
    <w:rsid w:val="004B714F"/>
    <w:rsid w:val="004C60A0"/>
    <w:rsid w:val="004E34C6"/>
    <w:rsid w:val="004F62AD"/>
    <w:rsid w:val="00501AE8"/>
    <w:rsid w:val="005042F6"/>
    <w:rsid w:val="00504B65"/>
    <w:rsid w:val="005114CE"/>
    <w:rsid w:val="0052122B"/>
    <w:rsid w:val="00530C31"/>
    <w:rsid w:val="005318BA"/>
    <w:rsid w:val="005557F6"/>
    <w:rsid w:val="00563778"/>
    <w:rsid w:val="005B3AFF"/>
    <w:rsid w:val="005B4AE2"/>
    <w:rsid w:val="005D1405"/>
    <w:rsid w:val="005E63CC"/>
    <w:rsid w:val="005F6E87"/>
    <w:rsid w:val="00611267"/>
    <w:rsid w:val="00613129"/>
    <w:rsid w:val="00617C65"/>
    <w:rsid w:val="00621DF0"/>
    <w:rsid w:val="0067286C"/>
    <w:rsid w:val="006D2635"/>
    <w:rsid w:val="006D779C"/>
    <w:rsid w:val="006E4F63"/>
    <w:rsid w:val="006E729E"/>
    <w:rsid w:val="007066C6"/>
    <w:rsid w:val="00714029"/>
    <w:rsid w:val="00741E59"/>
    <w:rsid w:val="00754FF2"/>
    <w:rsid w:val="007602AC"/>
    <w:rsid w:val="00774B67"/>
    <w:rsid w:val="00793AC6"/>
    <w:rsid w:val="007A71DE"/>
    <w:rsid w:val="007B199B"/>
    <w:rsid w:val="007B6119"/>
    <w:rsid w:val="007B7017"/>
    <w:rsid w:val="007C4DEC"/>
    <w:rsid w:val="007E2A15"/>
    <w:rsid w:val="007E32E7"/>
    <w:rsid w:val="008107D6"/>
    <w:rsid w:val="00841063"/>
    <w:rsid w:val="00841645"/>
    <w:rsid w:val="00852EC6"/>
    <w:rsid w:val="0088782D"/>
    <w:rsid w:val="008B7081"/>
    <w:rsid w:val="008E72CF"/>
    <w:rsid w:val="00902964"/>
    <w:rsid w:val="00937437"/>
    <w:rsid w:val="0094790F"/>
    <w:rsid w:val="00966B90"/>
    <w:rsid w:val="009737B7"/>
    <w:rsid w:val="009802C4"/>
    <w:rsid w:val="009976D9"/>
    <w:rsid w:val="00997A3E"/>
    <w:rsid w:val="009A4EA3"/>
    <w:rsid w:val="009A55DC"/>
    <w:rsid w:val="009C220D"/>
    <w:rsid w:val="00A211B2"/>
    <w:rsid w:val="00A2727E"/>
    <w:rsid w:val="00A35524"/>
    <w:rsid w:val="00A74F99"/>
    <w:rsid w:val="00A82BA3"/>
    <w:rsid w:val="00A92012"/>
    <w:rsid w:val="00A94ACC"/>
    <w:rsid w:val="00AE6FA4"/>
    <w:rsid w:val="00B03907"/>
    <w:rsid w:val="00B11811"/>
    <w:rsid w:val="00B311E1"/>
    <w:rsid w:val="00B46F56"/>
    <w:rsid w:val="00B4735C"/>
    <w:rsid w:val="00B77CB0"/>
    <w:rsid w:val="00B90EC2"/>
    <w:rsid w:val="00BA268F"/>
    <w:rsid w:val="00C079CA"/>
    <w:rsid w:val="00C133F3"/>
    <w:rsid w:val="00C255F7"/>
    <w:rsid w:val="00C345CA"/>
    <w:rsid w:val="00C452E2"/>
    <w:rsid w:val="00C67724"/>
    <w:rsid w:val="00C67741"/>
    <w:rsid w:val="00C74647"/>
    <w:rsid w:val="00C76039"/>
    <w:rsid w:val="00C76480"/>
    <w:rsid w:val="00C92FD6"/>
    <w:rsid w:val="00CA5F4D"/>
    <w:rsid w:val="00CC6598"/>
    <w:rsid w:val="00CC6BB1"/>
    <w:rsid w:val="00D126D9"/>
    <w:rsid w:val="00D14E73"/>
    <w:rsid w:val="00D6155E"/>
    <w:rsid w:val="00DB3A3D"/>
    <w:rsid w:val="00DC47A2"/>
    <w:rsid w:val="00DE1551"/>
    <w:rsid w:val="00DE7FB7"/>
    <w:rsid w:val="00E20DDA"/>
    <w:rsid w:val="00E32A8B"/>
    <w:rsid w:val="00E36054"/>
    <w:rsid w:val="00E37E7B"/>
    <w:rsid w:val="00E46E04"/>
    <w:rsid w:val="00E76506"/>
    <w:rsid w:val="00E87396"/>
    <w:rsid w:val="00E91135"/>
    <w:rsid w:val="00EC42A3"/>
    <w:rsid w:val="00F03FC7"/>
    <w:rsid w:val="00F07933"/>
    <w:rsid w:val="00F83033"/>
    <w:rsid w:val="00F966AA"/>
    <w:rsid w:val="00FB538F"/>
    <w:rsid w:val="00FC3071"/>
    <w:rsid w:val="00FD5902"/>
    <w:rsid w:val="00FF27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link w:val="Heading1Char"/>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3">
    <w:name w:val="Body Text 3"/>
    <w:basedOn w:val="Normal"/>
    <w:rsid w:val="00611267"/>
    <w:pPr>
      <w:spacing w:after="240"/>
    </w:pPr>
    <w:rPr>
      <w:sz w:val="20"/>
      <w:szCs w:val="16"/>
    </w:rPr>
  </w:style>
  <w:style w:type="paragraph" w:styleId="BodyText">
    <w:name w:val="Body Text"/>
    <w:basedOn w:val="Normal"/>
    <w:link w:val="BodyTextChar"/>
    <w:rsid w:val="00741E59"/>
    <w:rPr>
      <w:sz w:val="20"/>
      <w:szCs w:val="19"/>
    </w:rPr>
  </w:style>
  <w:style w:type="character" w:customStyle="1" w:styleId="BodyTextChar">
    <w:name w:val="Body Text Char"/>
    <w:basedOn w:val="DefaultParagraphFont"/>
    <w:link w:val="BodyText"/>
    <w:rsid w:val="00741E59"/>
    <w:rPr>
      <w:rFonts w:ascii="Arial" w:hAnsi="Arial"/>
      <w:szCs w:val="19"/>
      <w:lang w:val="en-US" w:eastAsia="en-US" w:bidi="ar-SA"/>
    </w:rPr>
  </w:style>
  <w:style w:type="paragraph" w:styleId="BodyText2">
    <w:name w:val="Body Text 2"/>
    <w:basedOn w:val="Normal"/>
    <w:rsid w:val="00741E59"/>
    <w:pPr>
      <w:tabs>
        <w:tab w:val="left" w:pos="1143"/>
        <w:tab w:val="left" w:pos="3600"/>
        <w:tab w:val="left" w:pos="7200"/>
      </w:tabs>
      <w:jc w:val="center"/>
    </w:pPr>
    <w:rPr>
      <w:b/>
      <w:sz w:val="20"/>
      <w:szCs w:val="16"/>
    </w:rPr>
  </w:style>
  <w:style w:type="character" w:customStyle="1" w:styleId="Heading1Char">
    <w:name w:val="Heading 1 Char"/>
    <w:basedOn w:val="DefaultParagraphFont"/>
    <w:link w:val="Heading1"/>
    <w:rsid w:val="007C4DEC"/>
    <w:rPr>
      <w:rFonts w:ascii="Arial" w:hAnsi="Arial"/>
      <w:b/>
      <w:color w:val="808080"/>
      <w:sz w:val="36"/>
      <w:szCs w:val="3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basedOn w:val="BodyTextChar"/>
    <w:link w:val="FieldText"/>
    <w:rsid w:val="00617C65"/>
    <w:rPr>
      <w:b/>
    </w:rPr>
  </w:style>
  <w:style w:type="paragraph" w:styleId="ListParagraph">
    <w:name w:val="List Paragraph"/>
    <w:basedOn w:val="Normal"/>
    <w:uiPriority w:val="34"/>
    <w:qFormat/>
    <w:rsid w:val="004B714F"/>
    <w:pPr>
      <w:ind w:left="720"/>
      <w:contextualSpacing/>
    </w:pPr>
  </w:style>
  <w:style w:type="character" w:styleId="Hyperlink">
    <w:name w:val="Hyperlink"/>
    <w:basedOn w:val="DefaultParagraphFont"/>
    <w:uiPriority w:val="99"/>
    <w:unhideWhenUsed/>
    <w:rsid w:val="00C452E2"/>
    <w:rPr>
      <w:color w:val="0000FF" w:themeColor="hyperlink"/>
      <w:u w:val="single"/>
    </w:rPr>
  </w:style>
  <w:style w:type="paragraph" w:styleId="Header">
    <w:name w:val="header"/>
    <w:basedOn w:val="Normal"/>
    <w:link w:val="HeaderChar"/>
    <w:uiPriority w:val="99"/>
    <w:semiHidden/>
    <w:unhideWhenUsed/>
    <w:rsid w:val="005318BA"/>
    <w:pPr>
      <w:tabs>
        <w:tab w:val="center" w:pos="4680"/>
        <w:tab w:val="right" w:pos="9360"/>
      </w:tabs>
    </w:pPr>
  </w:style>
  <w:style w:type="character" w:customStyle="1" w:styleId="HeaderChar">
    <w:name w:val="Header Char"/>
    <w:basedOn w:val="DefaultParagraphFont"/>
    <w:link w:val="Header"/>
    <w:uiPriority w:val="99"/>
    <w:semiHidden/>
    <w:rsid w:val="005318BA"/>
    <w:rPr>
      <w:rFonts w:ascii="Arial" w:hAnsi="Arial"/>
      <w:sz w:val="24"/>
      <w:szCs w:val="24"/>
    </w:rPr>
  </w:style>
  <w:style w:type="paragraph" w:styleId="Footer">
    <w:name w:val="footer"/>
    <w:basedOn w:val="Normal"/>
    <w:link w:val="FooterChar"/>
    <w:uiPriority w:val="99"/>
    <w:unhideWhenUsed/>
    <w:rsid w:val="005318BA"/>
    <w:pPr>
      <w:tabs>
        <w:tab w:val="center" w:pos="4680"/>
        <w:tab w:val="right" w:pos="9360"/>
      </w:tabs>
    </w:pPr>
  </w:style>
  <w:style w:type="character" w:customStyle="1" w:styleId="FooterChar">
    <w:name w:val="Footer Char"/>
    <w:basedOn w:val="DefaultParagraphFont"/>
    <w:link w:val="Footer"/>
    <w:uiPriority w:val="99"/>
    <w:rsid w:val="005318BA"/>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9351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ebs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orker\Application%20Data\Microsoft\Templates\Direct%20deposit%20authoriz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40B65-B2A8-47AB-B027-D10D5BE5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 deposit authorization.dot</Template>
  <TotalTime>90</TotalTime>
  <Pages>4</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Kim Murray</cp:lastModifiedBy>
  <cp:revision>12</cp:revision>
  <cp:lastPrinted>2008-05-12T14:31:00Z</cp:lastPrinted>
  <dcterms:created xsi:type="dcterms:W3CDTF">2007-12-07T15:04:00Z</dcterms:created>
  <dcterms:modified xsi:type="dcterms:W3CDTF">2008-11-05T19:30:00Z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TC060888801033</vt:lpwstr>
  </property>
</Properties>
</file>